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E9" w:rsidRDefault="00C861B6">
      <w:pPr>
        <w:pStyle w:val="Normal0"/>
      </w:pPr>
      <w:bookmarkStart w:id="0" w:name="_GoBack"/>
      <w:bookmarkEnd w:id="0"/>
      <w:r>
        <w:rPr>
          <w:noProof/>
          <w:lang w:eastAsia="fr-CH" w:bidi="ar-SA"/>
        </w:rPr>
        <w:drawing>
          <wp:inline distT="0" distB="0" distL="0" distR="0">
            <wp:extent cx="5349875" cy="1030605"/>
            <wp:effectExtent l="0" t="0" r="0" b="0"/>
            <wp:docPr id="1" name="r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d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F25E9" w:rsidRDefault="00C861B6">
      <w:pPr>
        <w:jc w:val="both"/>
      </w:pPr>
      <w:r>
        <w:rPr>
          <w:rFonts w:ascii="Tahoma" w:hAnsi="Tahoma" w:cs="Tahoma"/>
          <w:b/>
          <w:sz w:val="20"/>
        </w:rPr>
        <w:t xml:space="preserve">Présent(e)s : </w:t>
      </w:r>
      <w:r>
        <w:rPr>
          <w:rFonts w:ascii="Tahoma" w:hAnsi="Tahoma" w:cs="Tahoma"/>
          <w:sz w:val="20"/>
        </w:rPr>
        <w:t xml:space="preserve">Anne Catherine, Corinne, Hamid, Laye, Médard, Nathalie, </w:t>
      </w:r>
      <w:proofErr w:type="spellStart"/>
      <w:r>
        <w:rPr>
          <w:rFonts w:ascii="Tahoma" w:hAnsi="Tahoma" w:cs="Tahoma"/>
          <w:color w:val="000000"/>
          <w:sz w:val="20"/>
        </w:rPr>
        <w:t>Cilgia</w:t>
      </w:r>
      <w:proofErr w:type="spellEnd"/>
      <w:r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 Fernando,</w:t>
      </w:r>
    </w:p>
    <w:p w:rsidR="004F25E9" w:rsidRDefault="00C861B6">
      <w:pPr>
        <w:jc w:val="both"/>
      </w:pPr>
      <w:r>
        <w:rPr>
          <w:rFonts w:ascii="Tahoma" w:hAnsi="Tahoma" w:cs="Tahoma"/>
          <w:b/>
          <w:sz w:val="20"/>
        </w:rPr>
        <w:t xml:space="preserve">Excusé(e)s : </w:t>
      </w:r>
      <w:proofErr w:type="spellStart"/>
      <w:r>
        <w:rPr>
          <w:rFonts w:ascii="Tahoma" w:hAnsi="Tahoma" w:cs="Tahoma"/>
          <w:color w:val="000000"/>
          <w:sz w:val="20"/>
        </w:rPr>
        <w:t>Cinthia</w:t>
      </w:r>
      <w:proofErr w:type="spellEnd"/>
      <w:r>
        <w:rPr>
          <w:rFonts w:ascii="Tahoma" w:hAnsi="Tahoma" w:cs="Tahoma"/>
          <w:color w:val="000000"/>
          <w:sz w:val="20"/>
        </w:rPr>
        <w:t xml:space="preserve">, Didier, Enver, </w:t>
      </w:r>
      <w:r>
        <w:rPr>
          <w:rFonts w:ascii="Tahoma" w:hAnsi="Tahoma" w:cs="Tahoma"/>
          <w:sz w:val="20"/>
        </w:rPr>
        <w:t xml:space="preserve"> Janine </w:t>
      </w:r>
    </w:p>
    <w:p w:rsidR="004F25E9" w:rsidRDefault="004F25E9">
      <w:pPr>
        <w:pStyle w:val="Normal0"/>
        <w:rPr>
          <w:rFonts w:ascii="Arial" w:hAnsi="Arial" w:cs="Arial"/>
          <w:sz w:val="22"/>
        </w:rPr>
      </w:pPr>
    </w:p>
    <w:p w:rsidR="004F25E9" w:rsidRDefault="00C861B6">
      <w:pPr>
        <w:pStyle w:val="Normal0"/>
        <w:jc w:val="center"/>
        <w:rPr>
          <w:b/>
          <w:bCs/>
        </w:rPr>
      </w:pPr>
      <w:proofErr w:type="spellStart"/>
      <w:r>
        <w:rPr>
          <w:rFonts w:ascii="Arial" w:hAnsi="Arial" w:cs="Arial"/>
          <w:b/>
          <w:bCs/>
          <w:sz w:val="22"/>
        </w:rPr>
        <w:t>Procès verbal</w:t>
      </w:r>
      <w:proofErr w:type="spellEnd"/>
      <w:r>
        <w:rPr>
          <w:rFonts w:ascii="Arial" w:hAnsi="Arial" w:cs="Arial"/>
          <w:b/>
          <w:bCs/>
          <w:sz w:val="22"/>
        </w:rPr>
        <w:t xml:space="preserve"> de l'AG ordinaire du 18 mai 2015</w:t>
      </w:r>
    </w:p>
    <w:p w:rsidR="004F25E9" w:rsidRDefault="00C861B6">
      <w:pPr>
        <w:pStyle w:val="Normal0"/>
        <w:jc w:val="center"/>
        <w:rPr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% Anne C. </w:t>
      </w:r>
      <w:proofErr w:type="spellStart"/>
      <w:r>
        <w:rPr>
          <w:rFonts w:ascii="Arial" w:hAnsi="Arial" w:cs="Arial"/>
          <w:b/>
          <w:bCs/>
          <w:sz w:val="22"/>
        </w:rPr>
        <w:t>Salberg</w:t>
      </w:r>
      <w:proofErr w:type="spellEnd"/>
      <w:r>
        <w:rPr>
          <w:rFonts w:ascii="Arial" w:hAnsi="Arial" w:cs="Arial"/>
          <w:b/>
          <w:bCs/>
          <w:sz w:val="22"/>
        </w:rPr>
        <w:t>, 1, rue Emile-Yung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/>
          <w:b/>
          <w:bCs/>
          <w:sz w:val="22"/>
          <w:szCs w:val="22"/>
        </w:rPr>
        <w:t>Approbation du PV du 12 mai 2014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  <w:ind w:left="720" w:hanging="360"/>
      </w:pPr>
      <w:r>
        <w:rPr>
          <w:rFonts w:ascii="Arial" w:hAnsi="Arial"/>
          <w:sz w:val="22"/>
          <w:szCs w:val="22"/>
        </w:rPr>
        <w:tab/>
        <w:t>Approuvé avec remerciements à son auteur</w:t>
      </w:r>
    </w:p>
    <w:p w:rsidR="004F25E9" w:rsidRDefault="004F25E9">
      <w:pPr>
        <w:pStyle w:val="Normal0"/>
        <w:tabs>
          <w:tab w:val="left" w:pos="220"/>
          <w:tab w:val="left" w:pos="720"/>
        </w:tabs>
        <w:spacing w:after="0"/>
        <w:ind w:left="720" w:hanging="360"/>
        <w:rPr>
          <w:rFonts w:ascii="Arial" w:hAnsi="Arial"/>
          <w:sz w:val="22"/>
          <w:szCs w:val="22"/>
        </w:rPr>
      </w:pP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  <w:rPr>
          <w:b/>
          <w:bCs/>
        </w:rPr>
      </w:pPr>
      <w:r>
        <w:rPr>
          <w:rFonts w:ascii="Arial" w:hAnsi="Arial" w:cs="Arial"/>
          <w:b/>
          <w:bCs/>
          <w:sz w:val="22"/>
        </w:rPr>
        <w:t>Présentation du rapport d'activités</w:t>
      </w:r>
    </w:p>
    <w:p w:rsidR="004F25E9" w:rsidRDefault="004F25E9">
      <w:pPr>
        <w:pStyle w:val="Normal0"/>
        <w:tabs>
          <w:tab w:val="left" w:pos="220"/>
          <w:tab w:val="left" w:pos="720"/>
        </w:tabs>
        <w:spacing w:after="0"/>
        <w:ind w:left="720" w:hanging="360"/>
        <w:rPr>
          <w:rFonts w:ascii="Arial" w:hAnsi="Arial" w:cs="Arial"/>
          <w:sz w:val="22"/>
        </w:rPr>
      </w:pPr>
    </w:p>
    <w:p w:rsidR="004F25E9" w:rsidRDefault="00C861B6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  <w:lang w:val="fr-FR"/>
        </w:rPr>
        <w:t>RAPPORT D'ACTIVITÉ 201</w:t>
      </w:r>
      <w:r>
        <w:rPr>
          <w:rFonts w:ascii="Arial" w:hAnsi="Arial"/>
          <w:b/>
          <w:bCs/>
          <w:sz w:val="20"/>
          <w:lang w:val="fr-FR"/>
        </w:rPr>
        <w:t>4</w:t>
      </w:r>
    </w:p>
    <w:p w:rsidR="004F25E9" w:rsidRDefault="004F25E9">
      <w:pPr>
        <w:spacing w:line="20" w:lineRule="atLeast"/>
        <w:jc w:val="both"/>
        <w:rPr>
          <w:rFonts w:ascii="Arial" w:hAnsi="Arial"/>
          <w:b/>
          <w:sz w:val="20"/>
          <w:u w:val="single"/>
          <w:lang w:val="fr-FR"/>
        </w:rPr>
      </w:pPr>
    </w:p>
    <w:p w:rsidR="004F25E9" w:rsidRDefault="00C861B6">
      <w:pPr>
        <w:spacing w:line="20" w:lineRule="atLeast"/>
        <w:ind w:left="720"/>
        <w:jc w:val="both"/>
      </w:pPr>
      <w:r>
        <w:rPr>
          <w:rFonts w:ascii="Arial" w:hAnsi="Arial"/>
          <w:sz w:val="20"/>
          <w:lang w:val="fr-FR"/>
        </w:rPr>
        <w:t>Le CIM a tenu deux réunions durant l’année 2014 (12 mai et 16 novembre), une AG (16 juin) ainsi que la traditionnelle sortie annuelle des membres.</w:t>
      </w:r>
    </w:p>
    <w:p w:rsidR="004F25E9" w:rsidRDefault="004F25E9">
      <w:pPr>
        <w:ind w:left="720"/>
        <w:rPr>
          <w:rFonts w:ascii="Arial" w:hAnsi="Arial"/>
          <w:sz w:val="20"/>
          <w:lang w:val="fr-FR"/>
        </w:rPr>
      </w:pPr>
    </w:p>
    <w:p w:rsidR="004F25E9" w:rsidRDefault="00C861B6">
      <w:pPr>
        <w:spacing w:after="120" w:line="20" w:lineRule="atLeast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  <w:lang w:val="fr-FR"/>
        </w:rPr>
        <w:t>Membres</w:t>
      </w:r>
    </w:p>
    <w:p w:rsidR="004F25E9" w:rsidRDefault="00C861B6">
      <w:pPr>
        <w:spacing w:line="20" w:lineRule="atLeast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t xml:space="preserve">L’association comptait en 2014, sept membres </w:t>
      </w:r>
      <w:proofErr w:type="gramStart"/>
      <w:r>
        <w:rPr>
          <w:rFonts w:ascii="Arial" w:hAnsi="Arial"/>
          <w:sz w:val="20"/>
          <w:lang w:val="fr-FR"/>
        </w:rPr>
        <w:t>actif</w:t>
      </w:r>
      <w:proofErr w:type="gramEnd"/>
      <w:r>
        <w:rPr>
          <w:rFonts w:ascii="Arial" w:hAnsi="Arial"/>
          <w:sz w:val="20"/>
          <w:lang w:val="fr-FR"/>
        </w:rPr>
        <w:t xml:space="preserve"> et quatre membres de soutien.</w:t>
      </w:r>
    </w:p>
    <w:p w:rsidR="004F25E9" w:rsidRDefault="004F25E9">
      <w:pPr>
        <w:spacing w:line="20" w:lineRule="atLeast"/>
        <w:ind w:left="720"/>
        <w:jc w:val="both"/>
        <w:rPr>
          <w:rFonts w:ascii="Arial" w:hAnsi="Arial"/>
          <w:sz w:val="20"/>
          <w:lang w:val="fr-FR"/>
        </w:rPr>
      </w:pPr>
    </w:p>
    <w:p w:rsidR="004F25E9" w:rsidRDefault="00C861B6">
      <w:pPr>
        <w:spacing w:after="120" w:line="20" w:lineRule="atLeast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  <w:lang w:val="fr-FR"/>
        </w:rPr>
        <w:t>Médiations</w:t>
      </w:r>
    </w:p>
    <w:p w:rsidR="004F25E9" w:rsidRDefault="00C861B6">
      <w:pPr>
        <w:ind w:left="720"/>
        <w:jc w:val="both"/>
      </w:pPr>
      <w:r>
        <w:rPr>
          <w:rFonts w:ascii="Arial" w:hAnsi="Arial"/>
          <w:sz w:val="20"/>
          <w:lang w:val="fr-FR"/>
        </w:rPr>
        <w:t>Nous avons eu quatre demandes de médiation :</w:t>
      </w:r>
    </w:p>
    <w:p w:rsidR="004F25E9" w:rsidRDefault="00C861B6">
      <w:pPr>
        <w:numPr>
          <w:ilvl w:val="0"/>
          <w:numId w:val="2"/>
        </w:numPr>
        <w:jc w:val="both"/>
      </w:pPr>
      <w:r>
        <w:rPr>
          <w:rFonts w:ascii="Arial" w:hAnsi="Arial"/>
          <w:sz w:val="20"/>
          <w:lang w:val="fr-FR"/>
        </w:rPr>
        <w:t>Commune de Meyrin. Laye a rencontré l'</w:t>
      </w:r>
      <w:r>
        <w:rPr>
          <w:rFonts w:ascii="Arial" w:hAnsi="Arial"/>
          <w:sz w:val="20"/>
          <w:lang w:val="fr-FR"/>
        </w:rPr>
        <w:t xml:space="preserve">assistante sociale le 8 juillet. La demande a été réactivée en 2015 (Nathalie a été désignée pour prendre ce mandat en charge, accompagnée de Médard </w:t>
      </w:r>
    </w:p>
    <w:p w:rsidR="004F25E9" w:rsidRDefault="00C861B6">
      <w:pPr>
        <w:numPr>
          <w:ilvl w:val="0"/>
          <w:numId w:val="2"/>
        </w:numPr>
        <w:jc w:val="both"/>
      </w:pPr>
      <w:r>
        <w:rPr>
          <w:rFonts w:ascii="Arial" w:hAnsi="Arial"/>
          <w:sz w:val="20"/>
          <w:lang w:val="fr-FR"/>
        </w:rPr>
        <w:t>Un particulier pour un problème de voisinage (Médard)</w:t>
      </w:r>
    </w:p>
    <w:p w:rsidR="004F25E9" w:rsidRDefault="00C861B6">
      <w:pPr>
        <w:numPr>
          <w:ilvl w:val="0"/>
          <w:numId w:val="2"/>
        </w:numPr>
        <w:jc w:val="both"/>
      </w:pPr>
      <w:r>
        <w:rPr>
          <w:rFonts w:ascii="Arial" w:hAnsi="Arial"/>
          <w:sz w:val="20"/>
          <w:lang w:val="fr-FR"/>
        </w:rPr>
        <w:t xml:space="preserve">Une demande par l’intermédiaire de </w:t>
      </w:r>
      <w:proofErr w:type="spellStart"/>
      <w:r>
        <w:rPr>
          <w:rFonts w:ascii="Arial" w:hAnsi="Arial"/>
          <w:sz w:val="20"/>
          <w:lang w:val="fr-FR"/>
        </w:rPr>
        <w:t>Mirta</w:t>
      </w:r>
      <w:proofErr w:type="spellEnd"/>
    </w:p>
    <w:p w:rsidR="004F25E9" w:rsidRDefault="00C861B6">
      <w:pPr>
        <w:numPr>
          <w:ilvl w:val="0"/>
          <w:numId w:val="2"/>
        </w:numPr>
        <w:jc w:val="both"/>
      </w:pPr>
      <w:r>
        <w:rPr>
          <w:rFonts w:ascii="Arial" w:hAnsi="Arial"/>
          <w:sz w:val="20"/>
          <w:lang w:val="fr-FR"/>
        </w:rPr>
        <w:t>Une demande</w:t>
      </w:r>
      <w:r>
        <w:rPr>
          <w:rFonts w:ascii="Arial" w:hAnsi="Arial"/>
          <w:sz w:val="20"/>
          <w:lang w:val="fr-FR"/>
        </w:rPr>
        <w:t xml:space="preserve"> de formation par l'Association Europe-Charmilles (Laye et Nathalie)</w:t>
      </w:r>
    </w:p>
    <w:p w:rsidR="004F25E9" w:rsidRDefault="004F25E9">
      <w:pPr>
        <w:ind w:left="720"/>
        <w:jc w:val="both"/>
        <w:rPr>
          <w:rFonts w:ascii="Arial" w:hAnsi="Arial"/>
          <w:sz w:val="20"/>
          <w:lang w:val="fr-FR"/>
        </w:rPr>
      </w:pPr>
    </w:p>
    <w:p w:rsidR="004F25E9" w:rsidRDefault="00C861B6">
      <w:pPr>
        <w:spacing w:after="120" w:line="20" w:lineRule="atLeast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  <w:lang w:val="fr-FR"/>
        </w:rPr>
        <w:t>Inscriptions aux tableaux des médiateurs</w:t>
      </w:r>
    </w:p>
    <w:p w:rsidR="004F25E9" w:rsidRDefault="00C861B6">
      <w:pPr>
        <w:ind w:left="720"/>
        <w:jc w:val="both"/>
      </w:pPr>
      <w:r>
        <w:rPr>
          <w:rFonts w:ascii="Arial" w:hAnsi="Arial"/>
          <w:sz w:val="20"/>
          <w:lang w:val="fr-FR"/>
        </w:rPr>
        <w:t xml:space="preserve">Hamid et </w:t>
      </w:r>
      <w:proofErr w:type="spellStart"/>
      <w:r>
        <w:rPr>
          <w:rFonts w:ascii="Arial" w:hAnsi="Arial"/>
          <w:sz w:val="20"/>
          <w:lang w:val="fr-FR"/>
        </w:rPr>
        <w:t>Cilgia</w:t>
      </w:r>
      <w:proofErr w:type="spellEnd"/>
      <w:r>
        <w:rPr>
          <w:rFonts w:ascii="Arial" w:hAnsi="Arial"/>
          <w:sz w:val="20"/>
          <w:lang w:val="fr-FR"/>
        </w:rPr>
        <w:t xml:space="preserve"> qui avaient fait part de leur souhait de figurer aux tableaux des médiateurs pénaux et civils en 2013, n'ont pas fait les démarch</w:t>
      </w:r>
      <w:r>
        <w:rPr>
          <w:rFonts w:ascii="Arial" w:hAnsi="Arial"/>
          <w:sz w:val="20"/>
          <w:lang w:val="fr-FR"/>
        </w:rPr>
        <w:t xml:space="preserve">es (à noter, un changement de règlement et un durcissement des conditions voir depuis l'article 9, les nouvelles dispositions de février 2014 </w:t>
      </w:r>
      <w:hyperlink r:id="rId8">
        <w:r>
          <w:rPr>
            <w:rStyle w:val="InternetLink"/>
            <w:rFonts w:ascii="Arial" w:hAnsi="Arial"/>
            <w:sz w:val="20"/>
            <w:lang w:val="fr-FR"/>
          </w:rPr>
          <w:t>https://www.ge.ch/legislation/rsg/f/rsg_e</w:t>
        </w:r>
        <w:r>
          <w:rPr>
            <w:rStyle w:val="InternetLink"/>
            <w:rFonts w:ascii="Arial" w:hAnsi="Arial"/>
            <w:sz w:val="20"/>
            <w:lang w:val="fr-FR"/>
          </w:rPr>
          <w:t>2_05p06.html</w:t>
        </w:r>
      </w:hyperlink>
      <w:r>
        <w:rPr>
          <w:rFonts w:ascii="Arial" w:hAnsi="Arial"/>
          <w:sz w:val="20"/>
          <w:lang w:val="fr-FR"/>
        </w:rPr>
        <w:t>).</w:t>
      </w:r>
    </w:p>
    <w:p w:rsidR="004F25E9" w:rsidRDefault="004F25E9">
      <w:pPr>
        <w:spacing w:line="20" w:lineRule="atLeast"/>
        <w:ind w:left="720"/>
        <w:jc w:val="both"/>
        <w:rPr>
          <w:rFonts w:ascii="Arial" w:hAnsi="Arial"/>
          <w:b/>
          <w:smallCaps/>
          <w:sz w:val="20"/>
          <w:lang w:val="fr-FR"/>
        </w:rPr>
      </w:pPr>
    </w:p>
    <w:p w:rsidR="004F25E9" w:rsidRDefault="00C861B6">
      <w:pPr>
        <w:spacing w:after="120" w:line="20" w:lineRule="atLeast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  <w:lang w:val="fr-FR"/>
        </w:rPr>
        <w:t xml:space="preserve">Association Médiations </w:t>
      </w:r>
    </w:p>
    <w:p w:rsidR="004F25E9" w:rsidRDefault="00C861B6">
      <w:pPr>
        <w:spacing w:after="120" w:line="20" w:lineRule="atLeast"/>
        <w:ind w:left="720"/>
        <w:jc w:val="both"/>
      </w:pPr>
      <w:r>
        <w:rPr>
          <w:rFonts w:ascii="Arial" w:eastAsia="Calibri" w:hAnsi="Arial"/>
          <w:sz w:val="20"/>
          <w:lang w:val="fr-FR" w:eastAsia="en-GB"/>
        </w:rPr>
        <w:t xml:space="preserve">La décision a été prise de dissoudre la commission interculturelle et que le CIM délègue un de ses membres au Comité. C'est Nathalie qui a été désignée par le CIM et élue par l'assemblée générale de l'Association </w:t>
      </w:r>
      <w:proofErr w:type="spellStart"/>
      <w:r>
        <w:rPr>
          <w:rFonts w:ascii="Arial" w:eastAsia="Calibri" w:hAnsi="Arial"/>
          <w:sz w:val="20"/>
          <w:lang w:val="fr-FR" w:eastAsia="en-GB"/>
        </w:rPr>
        <w:t>Méd</w:t>
      </w:r>
      <w:r>
        <w:rPr>
          <w:rFonts w:ascii="Arial" w:eastAsia="Calibri" w:hAnsi="Arial"/>
          <w:sz w:val="20"/>
          <w:lang w:val="fr-FR" w:eastAsia="en-GB"/>
        </w:rPr>
        <w:t>iationS</w:t>
      </w:r>
      <w:proofErr w:type="spellEnd"/>
      <w:r>
        <w:rPr>
          <w:rFonts w:ascii="Arial" w:eastAsia="Calibri" w:hAnsi="Arial"/>
          <w:sz w:val="20"/>
          <w:lang w:val="fr-FR" w:eastAsia="en-GB"/>
        </w:rPr>
        <w:t xml:space="preserve">. </w:t>
      </w:r>
    </w:p>
    <w:p w:rsidR="004F25E9" w:rsidRDefault="00C861B6">
      <w:pPr>
        <w:spacing w:after="120" w:line="20" w:lineRule="atLeast"/>
        <w:ind w:left="720"/>
        <w:jc w:val="both"/>
      </w:pPr>
      <w:r>
        <w:rPr>
          <w:rFonts w:ascii="Arial" w:eastAsia="Calibri" w:hAnsi="Arial"/>
          <w:sz w:val="20"/>
          <w:lang w:val="fr-FR" w:eastAsia="en-GB"/>
        </w:rPr>
        <w:t xml:space="preserve">Janine et Anne C. ont rédigé une proposition de modifications des statuts qui sera approuvée lors de la prochaine AG de l’Association </w:t>
      </w:r>
      <w:proofErr w:type="spellStart"/>
      <w:r>
        <w:rPr>
          <w:rFonts w:ascii="Arial" w:eastAsia="Calibri" w:hAnsi="Arial"/>
          <w:sz w:val="20"/>
          <w:lang w:val="fr-FR" w:eastAsia="en-GB"/>
        </w:rPr>
        <w:t>MédiationS</w:t>
      </w:r>
      <w:proofErr w:type="spellEnd"/>
      <w:r>
        <w:rPr>
          <w:rFonts w:ascii="Arial" w:eastAsia="Calibri" w:hAnsi="Arial"/>
          <w:sz w:val="20"/>
          <w:lang w:val="fr-FR" w:eastAsia="en-GB"/>
        </w:rPr>
        <w:t xml:space="preserve">. </w:t>
      </w:r>
    </w:p>
    <w:p w:rsidR="004F25E9" w:rsidRDefault="00C861B6">
      <w:pPr>
        <w:spacing w:after="120" w:line="20" w:lineRule="atLeast"/>
        <w:ind w:left="720"/>
        <w:jc w:val="both"/>
      </w:pPr>
      <w:r>
        <w:rPr>
          <w:rFonts w:ascii="Arial" w:eastAsia="Calibri" w:hAnsi="Arial"/>
          <w:sz w:val="20"/>
          <w:lang w:val="fr-FR" w:eastAsia="en-GB"/>
        </w:rPr>
        <w:t xml:space="preserve">Il n'y a pas d'espace pour valoriser la documentation réalisée au </w:t>
      </w:r>
      <w:proofErr w:type="spellStart"/>
      <w:r>
        <w:rPr>
          <w:rFonts w:ascii="Arial" w:eastAsia="Calibri" w:hAnsi="Arial"/>
          <w:sz w:val="20"/>
          <w:lang w:val="fr-FR" w:eastAsia="en-GB"/>
        </w:rPr>
        <w:t>Froum</w:t>
      </w:r>
      <w:proofErr w:type="spellEnd"/>
      <w:r>
        <w:rPr>
          <w:rFonts w:ascii="Arial" w:eastAsia="Calibri" w:hAnsi="Arial"/>
          <w:sz w:val="20"/>
          <w:lang w:val="fr-FR" w:eastAsia="en-GB"/>
        </w:rPr>
        <w:t>.</w:t>
      </w:r>
    </w:p>
    <w:p w:rsidR="004F25E9" w:rsidRDefault="00C861B6">
      <w:pPr>
        <w:spacing w:after="120" w:line="20" w:lineRule="atLeast"/>
        <w:ind w:left="720"/>
        <w:jc w:val="both"/>
        <w:rPr>
          <w:rFonts w:ascii="Arial" w:hAnsi="Arial"/>
          <w:sz w:val="20"/>
        </w:rPr>
      </w:pPr>
      <w:r>
        <w:rPr>
          <w:rFonts w:ascii="Arial" w:eastAsia="Calibri" w:hAnsi="Arial"/>
          <w:sz w:val="20"/>
          <w:lang w:val="fr-FR" w:eastAsia="en-GB"/>
        </w:rPr>
        <w:t xml:space="preserve">Le CIM a participé au </w:t>
      </w:r>
      <w:r>
        <w:rPr>
          <w:rFonts w:ascii="Arial" w:eastAsia="Calibri" w:hAnsi="Arial"/>
          <w:sz w:val="20"/>
          <w:lang w:val="fr-FR" w:eastAsia="en-GB"/>
        </w:rPr>
        <w:t xml:space="preserve">tournus de la Permanence </w:t>
      </w:r>
      <w:proofErr w:type="spellStart"/>
      <w:r>
        <w:rPr>
          <w:rFonts w:ascii="Arial" w:eastAsia="Calibri" w:hAnsi="Arial"/>
          <w:sz w:val="20"/>
          <w:lang w:val="fr-FR" w:eastAsia="en-GB"/>
        </w:rPr>
        <w:t>InfoMédiation</w:t>
      </w:r>
      <w:proofErr w:type="spellEnd"/>
      <w:r>
        <w:rPr>
          <w:rFonts w:ascii="Arial" w:eastAsia="Calibri" w:hAnsi="Arial"/>
          <w:sz w:val="20"/>
          <w:lang w:val="fr-FR" w:eastAsia="en-GB"/>
        </w:rPr>
        <w:t xml:space="preserve"> (ACS, NLT et AM) et déposé des </w:t>
      </w:r>
      <w:proofErr w:type="gramStart"/>
      <w:r>
        <w:rPr>
          <w:rFonts w:ascii="Arial" w:eastAsia="Calibri" w:hAnsi="Arial"/>
          <w:sz w:val="20"/>
          <w:lang w:val="fr-FR" w:eastAsia="en-GB"/>
        </w:rPr>
        <w:t>dépliants .</w:t>
      </w:r>
      <w:proofErr w:type="gramEnd"/>
    </w:p>
    <w:p w:rsidR="004F25E9" w:rsidRDefault="00C861B6">
      <w:pPr>
        <w:spacing w:after="120" w:line="20" w:lineRule="atLeast"/>
        <w:ind w:left="720"/>
        <w:jc w:val="both"/>
      </w:pPr>
      <w:r>
        <w:rPr>
          <w:rFonts w:ascii="Arial" w:hAnsi="Arial"/>
          <w:b/>
          <w:smallCaps/>
          <w:sz w:val="20"/>
          <w:lang w:val="fr-FR"/>
        </w:rPr>
        <w:lastRenderedPageBreak/>
        <w:t>Forum sur l’interculturalité</w:t>
      </w:r>
    </w:p>
    <w:p w:rsidR="004F25E9" w:rsidRDefault="00C861B6">
      <w:pPr>
        <w:spacing w:after="6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t>Aucune valorisation de ces journées n'a été menée en 2014.</w:t>
      </w:r>
    </w:p>
    <w:p w:rsidR="004F25E9" w:rsidRDefault="004F25E9">
      <w:pPr>
        <w:spacing w:line="20" w:lineRule="atLeast"/>
        <w:ind w:left="720"/>
        <w:jc w:val="both"/>
        <w:rPr>
          <w:rFonts w:ascii="Arial" w:hAnsi="Arial"/>
          <w:b/>
          <w:smallCaps/>
          <w:sz w:val="20"/>
          <w:lang w:val="fr-FR"/>
        </w:rPr>
      </w:pPr>
    </w:p>
    <w:p w:rsidR="004F25E9" w:rsidRDefault="00C861B6">
      <w:pPr>
        <w:spacing w:after="120" w:line="20" w:lineRule="atLeast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  <w:lang w:val="fr-FR"/>
        </w:rPr>
        <w:t xml:space="preserve">Promotion </w:t>
      </w:r>
    </w:p>
    <w:p w:rsidR="004F25E9" w:rsidRDefault="00C861B6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 w:cs="Tahoma"/>
          <w:sz w:val="20"/>
        </w:rPr>
        <w:t xml:space="preserve">Interprètes de la </w:t>
      </w:r>
      <w:proofErr w:type="spellStart"/>
      <w:r>
        <w:rPr>
          <w:rFonts w:ascii="Arial" w:hAnsi="Arial" w:cs="Tahoma"/>
          <w:sz w:val="20"/>
        </w:rPr>
        <w:t>Croix-rouge</w:t>
      </w:r>
      <w:proofErr w:type="spellEnd"/>
      <w:r>
        <w:rPr>
          <w:rFonts w:ascii="Arial" w:hAnsi="Arial" w:cs="Tahoma"/>
          <w:sz w:val="20"/>
        </w:rPr>
        <w:t xml:space="preserve">: une lettre a été envoyée au Président pour </w:t>
      </w:r>
      <w:r>
        <w:rPr>
          <w:rFonts w:ascii="Arial" w:hAnsi="Arial" w:cs="Tahoma"/>
          <w:sz w:val="20"/>
        </w:rPr>
        <w:t>demander un entretien compte tenu de la complémentarité de nos actions. Cette lettre n'a pas obtenu de réponse.</w:t>
      </w:r>
    </w:p>
    <w:p w:rsidR="004F25E9" w:rsidRDefault="004F25E9">
      <w:pPr>
        <w:ind w:left="720"/>
        <w:jc w:val="both"/>
        <w:rPr>
          <w:rFonts w:ascii="Arial" w:hAnsi="Arial" w:cs="Tahoma"/>
          <w:sz w:val="20"/>
          <w:lang w:val="fr-FR"/>
        </w:rPr>
      </w:pPr>
    </w:p>
    <w:p w:rsidR="004F25E9" w:rsidRDefault="00C861B6">
      <w:pPr>
        <w:ind w:left="720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 w:cs="Tahoma"/>
          <w:sz w:val="20"/>
          <w:lang w:val="fr-FR"/>
        </w:rPr>
        <w:t>Kultura</w:t>
      </w:r>
      <w:proofErr w:type="spellEnd"/>
      <w:r>
        <w:rPr>
          <w:rFonts w:ascii="Arial" w:hAnsi="Arial" w:cs="Tahoma"/>
          <w:sz w:val="20"/>
          <w:lang w:val="fr-FR"/>
        </w:rPr>
        <w:t> : l'invitation que Didier devait envoyer pour que le CIM puisse se présenter lors des AG des associations membres n'a pas donné de résu</w:t>
      </w:r>
      <w:r>
        <w:rPr>
          <w:rFonts w:ascii="Arial" w:hAnsi="Arial" w:cs="Tahoma"/>
          <w:sz w:val="20"/>
          <w:lang w:val="fr-FR"/>
        </w:rPr>
        <w:t>ltat.</w:t>
      </w:r>
    </w:p>
    <w:p w:rsidR="004F25E9" w:rsidRDefault="004F25E9">
      <w:pPr>
        <w:ind w:left="720"/>
        <w:jc w:val="both"/>
        <w:rPr>
          <w:rFonts w:ascii="Arial" w:hAnsi="Arial" w:cs="Tahoma"/>
          <w:sz w:val="20"/>
          <w:lang w:val="fr-FR"/>
        </w:rPr>
      </w:pPr>
    </w:p>
    <w:p w:rsidR="004F25E9" w:rsidRDefault="00C861B6">
      <w:pPr>
        <w:spacing w:line="20" w:lineRule="atLeast"/>
        <w:ind w:left="720"/>
        <w:jc w:val="both"/>
      </w:pPr>
      <w:r>
        <w:rPr>
          <w:rFonts w:ascii="Arial" w:hAnsi="Arial"/>
          <w:sz w:val="20"/>
          <w:lang w:val="fr-FR"/>
        </w:rPr>
        <w:t xml:space="preserve">Médard a rencontré K. </w:t>
      </w:r>
      <w:proofErr w:type="spellStart"/>
      <w:r>
        <w:rPr>
          <w:rFonts w:ascii="Arial" w:hAnsi="Arial"/>
          <w:sz w:val="20"/>
          <w:lang w:val="fr-FR"/>
        </w:rPr>
        <w:t>Nalband</w:t>
      </w:r>
      <w:proofErr w:type="spellEnd"/>
      <w:r>
        <w:rPr>
          <w:rFonts w:ascii="Arial" w:hAnsi="Arial"/>
          <w:sz w:val="20"/>
          <w:lang w:val="fr-FR"/>
        </w:rPr>
        <w:t xml:space="preserve"> qui a établi une liste des organismes proposant la médiation dans le canton de Genève </w:t>
      </w:r>
      <w:hyperlink r:id="rId9">
        <w:r>
          <w:rPr>
            <w:rStyle w:val="InternetLink"/>
            <w:rFonts w:ascii="Arial" w:hAnsi="Arial"/>
            <w:sz w:val="20"/>
            <w:lang w:val="fr-FR"/>
          </w:rPr>
          <w:t>https://mediationgeneve.files.wordpress.com/2014/12/liste-des-institutions-de-mc3a9diation-c3a0-genc3a8ve-brochure-3.pdf</w:t>
        </w:r>
      </w:hyperlink>
      <w:r>
        <w:rPr>
          <w:rFonts w:ascii="Arial" w:hAnsi="Arial"/>
          <w:sz w:val="20"/>
          <w:lang w:val="fr-FR"/>
        </w:rPr>
        <w:t xml:space="preserve"> </w:t>
      </w:r>
    </w:p>
    <w:p w:rsidR="004F25E9" w:rsidRDefault="004F25E9">
      <w:pPr>
        <w:spacing w:after="120" w:line="20" w:lineRule="atLeast"/>
        <w:ind w:left="720"/>
        <w:jc w:val="both"/>
        <w:rPr>
          <w:rFonts w:ascii="Arial" w:hAnsi="Arial"/>
          <w:b/>
          <w:smallCaps/>
          <w:sz w:val="20"/>
          <w:lang w:val="fr-FR"/>
        </w:rPr>
      </w:pPr>
    </w:p>
    <w:p w:rsidR="004F25E9" w:rsidRDefault="00C861B6">
      <w:pPr>
        <w:spacing w:after="120" w:line="20" w:lineRule="atLeast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  <w:lang w:val="fr-FR"/>
        </w:rPr>
        <w:t xml:space="preserve">Bibliothèque du </w:t>
      </w:r>
      <w:proofErr w:type="spellStart"/>
      <w:r>
        <w:rPr>
          <w:rFonts w:ascii="Arial" w:hAnsi="Arial"/>
          <w:b/>
          <w:smallCaps/>
          <w:sz w:val="20"/>
          <w:lang w:val="fr-FR"/>
        </w:rPr>
        <w:t>cim</w:t>
      </w:r>
      <w:proofErr w:type="spellEnd"/>
    </w:p>
    <w:p w:rsidR="004F25E9" w:rsidRDefault="00C861B6">
      <w:pPr>
        <w:spacing w:before="120"/>
        <w:ind w:left="720"/>
        <w:rPr>
          <w:rFonts w:ascii="Arial" w:hAnsi="Arial"/>
          <w:sz w:val="20"/>
        </w:rPr>
      </w:pPr>
      <w:r>
        <w:rPr>
          <w:rFonts w:ascii="Arial" w:hAnsi="Arial" w:cs="Tahoma"/>
          <w:sz w:val="20"/>
        </w:rPr>
        <w:t xml:space="preserve">Deux nouveaux livres ont été acquis par le CIM (chez Laye) grâce à des bons cadeaux reçus par Laye et Médard : </w:t>
      </w:r>
    </w:p>
    <w:p w:rsidR="004F25E9" w:rsidRDefault="00C861B6">
      <w:pPr>
        <w:pStyle w:val="Paragraphedeliste"/>
        <w:numPr>
          <w:ilvl w:val="0"/>
          <w:numId w:val="1"/>
        </w:numPr>
        <w:spacing w:before="120" w:after="0"/>
        <w:ind w:left="1440"/>
        <w:rPr>
          <w:rFonts w:ascii="Arial" w:hAnsi="Arial"/>
          <w:sz w:val="20"/>
        </w:rPr>
      </w:pPr>
      <w:r>
        <w:rPr>
          <w:rFonts w:ascii="Arial" w:hAnsi="Arial" w:cs="Tahoma"/>
          <w:sz w:val="20"/>
        </w:rPr>
        <w:t>Médiations : les ateliers silencieux de la démocratie (</w:t>
      </w:r>
      <w:proofErr w:type="spellStart"/>
      <w:r>
        <w:rPr>
          <w:rFonts w:ascii="Arial" w:hAnsi="Arial" w:cs="Tahoma"/>
          <w:sz w:val="20"/>
        </w:rPr>
        <w:t>Faget</w:t>
      </w:r>
      <w:proofErr w:type="spellEnd"/>
      <w:r>
        <w:rPr>
          <w:rFonts w:ascii="Arial" w:hAnsi="Arial" w:cs="Tahoma"/>
          <w:sz w:val="20"/>
        </w:rPr>
        <w:t>, Eres, 2010)</w:t>
      </w:r>
    </w:p>
    <w:p w:rsidR="004F25E9" w:rsidRDefault="00C861B6">
      <w:pPr>
        <w:pStyle w:val="Paragraphedeliste"/>
        <w:numPr>
          <w:ilvl w:val="0"/>
          <w:numId w:val="1"/>
        </w:numPr>
        <w:spacing w:before="120" w:after="0"/>
        <w:ind w:left="1440"/>
        <w:jc w:val="both"/>
      </w:pPr>
      <w:r>
        <w:rPr>
          <w:rFonts w:ascii="Arial" w:hAnsi="Arial" w:cs="Tahoma"/>
          <w:sz w:val="20"/>
          <w:lang w:val="fr-FR"/>
        </w:rPr>
        <w:t xml:space="preserve">La médiation interculturelle (éd. </w:t>
      </w:r>
      <w:proofErr w:type="spellStart"/>
      <w:r>
        <w:rPr>
          <w:rFonts w:ascii="Arial" w:hAnsi="Arial" w:cs="Tahoma"/>
          <w:sz w:val="20"/>
          <w:lang w:val="fr-FR"/>
        </w:rPr>
        <w:t>Stalder</w:t>
      </w:r>
      <w:proofErr w:type="spellEnd"/>
      <w:r>
        <w:rPr>
          <w:rFonts w:ascii="Arial" w:hAnsi="Arial" w:cs="Tahoma"/>
          <w:sz w:val="20"/>
          <w:lang w:val="fr-FR"/>
        </w:rPr>
        <w:t xml:space="preserve">, </w:t>
      </w:r>
      <w:proofErr w:type="spellStart"/>
      <w:r>
        <w:rPr>
          <w:rFonts w:ascii="Arial" w:hAnsi="Arial" w:cs="Tahoma"/>
          <w:sz w:val="20"/>
          <w:lang w:val="fr-FR"/>
        </w:rPr>
        <w:t>Tonti</w:t>
      </w:r>
      <w:proofErr w:type="spellEnd"/>
      <w:r>
        <w:rPr>
          <w:rFonts w:ascii="Arial" w:hAnsi="Arial" w:cs="Tahoma"/>
          <w:sz w:val="20"/>
          <w:lang w:val="fr-FR"/>
        </w:rPr>
        <w:t>, Archives contemporai</w:t>
      </w:r>
      <w:r>
        <w:rPr>
          <w:rFonts w:ascii="Arial" w:hAnsi="Arial" w:cs="Tahoma"/>
          <w:sz w:val="20"/>
          <w:lang w:val="fr-FR"/>
        </w:rPr>
        <w:t xml:space="preserve">nes, 2014) qui comprend une contribution </w:t>
      </w:r>
      <w:proofErr w:type="gramStart"/>
      <w:r>
        <w:rPr>
          <w:rFonts w:ascii="Arial" w:hAnsi="Arial" w:cs="Tahoma"/>
          <w:sz w:val="20"/>
          <w:lang w:val="fr-FR"/>
        </w:rPr>
        <w:t>de Adulai</w:t>
      </w:r>
      <w:proofErr w:type="gramEnd"/>
      <w:r>
        <w:rPr>
          <w:rFonts w:ascii="Arial" w:hAnsi="Arial" w:cs="Tahoma"/>
          <w:sz w:val="20"/>
          <w:lang w:val="fr-FR"/>
        </w:rPr>
        <w:t xml:space="preserve"> </w:t>
      </w:r>
      <w:proofErr w:type="spellStart"/>
      <w:r>
        <w:rPr>
          <w:rFonts w:ascii="Arial" w:hAnsi="Arial" w:cs="Tahoma"/>
          <w:sz w:val="20"/>
          <w:lang w:val="fr-FR"/>
        </w:rPr>
        <w:t>Mané</w:t>
      </w:r>
      <w:proofErr w:type="spellEnd"/>
      <w:r>
        <w:rPr>
          <w:rFonts w:ascii="Arial" w:hAnsi="Arial" w:cs="Tahoma"/>
          <w:sz w:val="20"/>
          <w:lang w:val="fr-FR"/>
        </w:rPr>
        <w:t>.</w:t>
      </w:r>
    </w:p>
    <w:p w:rsidR="004F25E9" w:rsidRDefault="004F25E9">
      <w:pPr>
        <w:spacing w:line="20" w:lineRule="atLeast"/>
        <w:ind w:left="720"/>
        <w:jc w:val="both"/>
        <w:rPr>
          <w:rFonts w:ascii="Arial" w:hAnsi="Arial"/>
          <w:b/>
          <w:smallCaps/>
          <w:sz w:val="20"/>
          <w:lang w:val="fr-FR"/>
        </w:rPr>
      </w:pPr>
    </w:p>
    <w:p w:rsidR="004F25E9" w:rsidRDefault="00C861B6">
      <w:pPr>
        <w:spacing w:line="20" w:lineRule="atLeast"/>
        <w:ind w:left="720"/>
        <w:jc w:val="both"/>
      </w:pPr>
      <w:r>
        <w:rPr>
          <w:rFonts w:ascii="Arial" w:hAnsi="Arial"/>
          <w:b/>
          <w:bCs/>
          <w:smallCaps/>
          <w:sz w:val="20"/>
          <w:lang w:val="fr-FR"/>
        </w:rPr>
        <w:t xml:space="preserve">Bilan des objectifs </w:t>
      </w:r>
      <w:r>
        <w:rPr>
          <w:rFonts w:ascii="Arial" w:hAnsi="Arial"/>
          <w:b/>
          <w:smallCaps/>
          <w:sz w:val="20"/>
          <w:lang w:val="fr-FR"/>
        </w:rPr>
        <w:t>2014</w:t>
      </w:r>
    </w:p>
    <w:p w:rsidR="004F25E9" w:rsidRDefault="004F25E9">
      <w:pPr>
        <w:ind w:left="720"/>
        <w:jc w:val="both"/>
        <w:rPr>
          <w:rFonts w:ascii="Arial" w:hAnsi="Arial"/>
          <w:sz w:val="20"/>
          <w:lang w:val="fr-FR"/>
        </w:rPr>
      </w:pPr>
    </w:p>
    <w:tbl>
      <w:tblPr>
        <w:tblW w:w="90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7"/>
      </w:tblGrid>
      <w:tr w:rsidR="004F25E9"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Désignation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Objectif atteint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Partiellement atteint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Non atteint</w:t>
            </w:r>
          </w:p>
        </w:tc>
      </w:tr>
      <w:tr w:rsidR="004F25E9"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Inscription au tableau des médiateurs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4F25E9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4F25E9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4F25E9"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Mise à jour du site internet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4F25E9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  <w:p w:rsidR="004F25E9" w:rsidRDefault="00C861B6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 de financement pour l'</w:t>
            </w:r>
            <w:r>
              <w:rPr>
                <w:rFonts w:ascii="Arial" w:hAnsi="Arial"/>
                <w:sz w:val="20"/>
              </w:rPr>
              <w:t>intranet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4F25E9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4F25E9"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Promotion du CIM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4F25E9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C861B6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25E9" w:rsidRDefault="004F25E9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</w:tbl>
    <w:p w:rsidR="004F25E9" w:rsidRDefault="004F25E9">
      <w:pPr>
        <w:tabs>
          <w:tab w:val="left" w:pos="220"/>
          <w:tab w:val="left" w:pos="720"/>
        </w:tabs>
        <w:ind w:left="1440" w:hanging="360"/>
        <w:rPr>
          <w:rFonts w:cs="Arial"/>
        </w:rPr>
      </w:pPr>
    </w:p>
    <w:p w:rsidR="004F25E9" w:rsidRDefault="004F25E9">
      <w:pPr>
        <w:tabs>
          <w:tab w:val="left" w:pos="220"/>
          <w:tab w:val="left" w:pos="720"/>
        </w:tabs>
        <w:ind w:left="1440" w:hanging="360"/>
        <w:rPr>
          <w:rFonts w:cs="Arial"/>
        </w:rPr>
      </w:pP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  <w:rPr>
          <w:b/>
          <w:bCs/>
        </w:rPr>
      </w:pPr>
      <w:r>
        <w:rPr>
          <w:rFonts w:ascii="Arial" w:hAnsi="Arial" w:cs="Arial"/>
          <w:b/>
          <w:bCs/>
          <w:sz w:val="22"/>
        </w:rPr>
        <w:t>Approbation par l’AG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sz w:val="22"/>
        </w:rPr>
        <w:t>Les membres présents approuvent à l'unanimité le rapport d'activités 2014, avec les modifications demandées en séance.</w:t>
      </w:r>
    </w:p>
    <w:p w:rsidR="004F25E9" w:rsidRDefault="004F25E9">
      <w:pPr>
        <w:pStyle w:val="Normal0"/>
        <w:tabs>
          <w:tab w:val="left" w:pos="220"/>
          <w:tab w:val="left" w:pos="720"/>
        </w:tabs>
        <w:spacing w:after="0"/>
        <w:ind w:left="720" w:hanging="360"/>
        <w:rPr>
          <w:rFonts w:ascii="Arial" w:hAnsi="Arial" w:cs="Arial"/>
          <w:sz w:val="22"/>
        </w:rPr>
      </w:pPr>
    </w:p>
    <w:p w:rsidR="004F25E9" w:rsidRDefault="004F25E9">
      <w:pPr>
        <w:pStyle w:val="Normal0"/>
        <w:tabs>
          <w:tab w:val="left" w:pos="220"/>
          <w:tab w:val="left" w:pos="720"/>
        </w:tabs>
        <w:spacing w:after="0"/>
        <w:rPr>
          <w:rFonts w:ascii="Arial" w:hAnsi="Arial" w:cs="Arial"/>
          <w:sz w:val="22"/>
        </w:rPr>
      </w:pP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  <w:rPr>
          <w:rFonts w:ascii="Arial" w:hAnsi="Arial" w:cs="Arial"/>
          <w:sz w:val="22"/>
        </w:rPr>
      </w:pPr>
      <w:r>
        <w:br w:type="page"/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b/>
          <w:bCs/>
          <w:sz w:val="22"/>
        </w:rPr>
        <w:t>Présentation du rapport du trésorier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  <w:rPr>
          <w:b/>
          <w:bCs/>
        </w:rPr>
      </w:pPr>
      <w:r>
        <w:rPr>
          <w:rFonts w:ascii="Arial" w:hAnsi="Arial" w:cs="Arial"/>
          <w:b/>
          <w:bCs/>
          <w:sz w:val="22"/>
        </w:rPr>
        <w:t>Compte d'exploitation 2014</w:t>
      </w:r>
    </w:p>
    <w:p w:rsidR="004F25E9" w:rsidRDefault="004F25E9">
      <w:pPr>
        <w:pStyle w:val="Normal0"/>
        <w:tabs>
          <w:tab w:val="left" w:pos="220"/>
          <w:tab w:val="left" w:pos="720"/>
        </w:tabs>
        <w:spacing w:after="0"/>
        <w:ind w:left="720" w:hanging="360"/>
        <w:rPr>
          <w:rFonts w:ascii="Arial" w:hAnsi="Arial" w:cs="Arial"/>
          <w:sz w:val="22"/>
        </w:rPr>
      </w:pP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fr-CH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33390" cy="6983095"/>
            <wp:effectExtent l="0" t="0" r="0" b="0"/>
            <wp:wrapSquare wrapText="largest"/>
            <wp:docPr id="2" name="Obje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698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b/>
          <w:bCs/>
          <w:sz w:val="22"/>
        </w:rPr>
        <w:t>Approbation par l'AG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sz w:val="22"/>
        </w:rPr>
        <w:t>Les membres présents approuvent à l'unanimité les comptes 2014, après inclusion de passifs et d'actifs transitoires (cotisations 2013) ainsi que la sortie annuelle.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sz w:val="22"/>
        </w:rPr>
        <w:t>Le trésorier adressera un rappel pour les cotisations 2014 et le paiem</w:t>
      </w:r>
      <w:r>
        <w:rPr>
          <w:rFonts w:ascii="Arial" w:hAnsi="Arial" w:cs="Arial"/>
          <w:sz w:val="22"/>
        </w:rPr>
        <w:t xml:space="preserve">ent de la cotisation 2015. 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  <w:ind w:hanging="360"/>
      </w:pPr>
      <w:r>
        <w:rPr>
          <w:rFonts w:ascii="Arial" w:hAnsi="Arial" w:cs="Arial"/>
          <w:b/>
          <w:bCs/>
          <w:sz w:val="22"/>
        </w:rPr>
        <w:tab/>
        <w:t xml:space="preserve">Paiement des cotisations 2015 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sz w:val="22"/>
        </w:rPr>
        <w:t>Montant inchangé</w:t>
      </w:r>
    </w:p>
    <w:p w:rsidR="004F25E9" w:rsidRDefault="004F25E9">
      <w:pPr>
        <w:pStyle w:val="Normal0"/>
        <w:tabs>
          <w:tab w:val="left" w:pos="220"/>
          <w:tab w:val="left" w:pos="720"/>
        </w:tabs>
        <w:spacing w:after="0"/>
        <w:ind w:hanging="360"/>
        <w:rPr>
          <w:rFonts w:ascii="Arial" w:hAnsi="Arial" w:cs="Arial"/>
          <w:sz w:val="22"/>
        </w:rPr>
      </w:pP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b/>
          <w:bCs/>
          <w:sz w:val="22"/>
        </w:rPr>
        <w:t xml:space="preserve">Élection des membres de la direction 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sz w:val="22"/>
        </w:rPr>
        <w:t>Renouvellement annuel selon les statuts.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sz w:val="22"/>
        </w:rPr>
        <w:t xml:space="preserve">Sont réélus Adulai </w:t>
      </w:r>
      <w:proofErr w:type="spellStart"/>
      <w:r>
        <w:rPr>
          <w:rFonts w:ascii="Arial" w:hAnsi="Arial" w:cs="Arial"/>
          <w:sz w:val="22"/>
        </w:rPr>
        <w:t>Mané</w:t>
      </w:r>
      <w:proofErr w:type="spellEnd"/>
      <w:r>
        <w:rPr>
          <w:rFonts w:ascii="Arial" w:hAnsi="Arial" w:cs="Arial"/>
          <w:sz w:val="22"/>
        </w:rPr>
        <w:t xml:space="preserve"> comme président ; </w:t>
      </w:r>
      <w:proofErr w:type="spellStart"/>
      <w:r>
        <w:rPr>
          <w:rFonts w:ascii="Arial" w:hAnsi="Arial" w:cs="Arial"/>
          <w:sz w:val="22"/>
        </w:rPr>
        <w:t>Medard</w:t>
      </w:r>
      <w:proofErr w:type="spellEnd"/>
      <w:r>
        <w:rPr>
          <w:rFonts w:ascii="Arial" w:hAnsi="Arial" w:cs="Arial"/>
          <w:sz w:val="22"/>
        </w:rPr>
        <w:t xml:space="preserve"> Bendelo comme trésorier et Anne C. </w:t>
      </w:r>
      <w:proofErr w:type="spellStart"/>
      <w:r>
        <w:rPr>
          <w:rFonts w:ascii="Arial" w:hAnsi="Arial" w:cs="Arial"/>
          <w:sz w:val="22"/>
        </w:rPr>
        <w:t>Salberg</w:t>
      </w:r>
      <w:proofErr w:type="spellEnd"/>
      <w:r>
        <w:rPr>
          <w:rFonts w:ascii="Arial" w:hAnsi="Arial" w:cs="Arial"/>
          <w:sz w:val="22"/>
        </w:rPr>
        <w:t xml:space="preserve"> comme s</w:t>
      </w:r>
      <w:r>
        <w:rPr>
          <w:rFonts w:ascii="Arial" w:hAnsi="Arial" w:cs="Arial"/>
          <w:sz w:val="22"/>
        </w:rPr>
        <w:t>ecrétaire.</w:t>
      </w:r>
    </w:p>
    <w:p w:rsidR="004F25E9" w:rsidRDefault="00C861B6">
      <w:pPr>
        <w:pStyle w:val="Normal0"/>
        <w:tabs>
          <w:tab w:val="left" w:pos="220"/>
          <w:tab w:val="left" w:pos="720"/>
        </w:tabs>
        <w:spacing w:after="0"/>
      </w:pPr>
      <w:r>
        <w:rPr>
          <w:rFonts w:ascii="Arial" w:hAnsi="Arial" w:cs="Arial"/>
          <w:sz w:val="22"/>
        </w:rPr>
        <w:t xml:space="preserve">A noter </w:t>
      </w:r>
      <w:proofErr w:type="gramStart"/>
      <w:r>
        <w:rPr>
          <w:rFonts w:ascii="Arial" w:hAnsi="Arial" w:cs="Arial"/>
          <w:sz w:val="22"/>
        </w:rPr>
        <w:t>que Anne</w:t>
      </w:r>
      <w:proofErr w:type="gramEnd"/>
      <w:r>
        <w:rPr>
          <w:rFonts w:ascii="Arial" w:hAnsi="Arial" w:cs="Arial"/>
          <w:sz w:val="22"/>
        </w:rPr>
        <w:t xml:space="preserve"> C. </w:t>
      </w:r>
      <w:proofErr w:type="spellStart"/>
      <w:r>
        <w:rPr>
          <w:rFonts w:ascii="Arial" w:hAnsi="Arial" w:cs="Arial"/>
          <w:sz w:val="22"/>
        </w:rPr>
        <w:t>Salberg</w:t>
      </w:r>
      <w:proofErr w:type="spellEnd"/>
      <w:r>
        <w:rPr>
          <w:rFonts w:ascii="Arial" w:hAnsi="Arial" w:cs="Arial"/>
          <w:sz w:val="22"/>
        </w:rPr>
        <w:t xml:space="preserve"> assume pour la dernière fois son mandat en 2015, à la suite de son élection comme présidente de la Commission de reconnaissance de la FSM. Son poste sera à repourvoir en 2016.</w:t>
      </w:r>
    </w:p>
    <w:p w:rsidR="004F25E9" w:rsidRDefault="004F25E9">
      <w:pPr>
        <w:pStyle w:val="Normal0"/>
        <w:tabs>
          <w:tab w:val="left" w:pos="220"/>
          <w:tab w:val="left" w:pos="720"/>
        </w:tabs>
        <w:spacing w:after="0"/>
        <w:ind w:left="360"/>
        <w:rPr>
          <w:rFonts w:cs="Arial"/>
        </w:rPr>
      </w:pPr>
    </w:p>
    <w:p w:rsidR="004F25E9" w:rsidRDefault="004F25E9">
      <w:pPr>
        <w:pStyle w:val="Normal0"/>
        <w:rPr>
          <w:rFonts w:ascii="Arial" w:hAnsi="Arial"/>
          <w:b/>
          <w:bCs/>
          <w:sz w:val="22"/>
          <w:szCs w:val="22"/>
        </w:rPr>
      </w:pPr>
    </w:p>
    <w:p w:rsidR="004F25E9" w:rsidRDefault="00C861B6">
      <w:pPr>
        <w:pStyle w:val="Normal0"/>
      </w:pPr>
      <w:r>
        <w:rPr>
          <w:rFonts w:ascii="Arial" w:hAnsi="Arial"/>
          <w:sz w:val="22"/>
          <w:szCs w:val="22"/>
        </w:rPr>
        <w:t>A 19h30 la séance est levée.</w:t>
      </w:r>
    </w:p>
    <w:p w:rsidR="004F25E9" w:rsidRDefault="004F25E9">
      <w:pPr>
        <w:pStyle w:val="Normal0"/>
        <w:rPr>
          <w:rFonts w:ascii="Arial" w:hAnsi="Arial"/>
          <w:sz w:val="22"/>
          <w:szCs w:val="22"/>
        </w:rPr>
      </w:pPr>
    </w:p>
    <w:p w:rsidR="004F25E9" w:rsidRDefault="004F25E9">
      <w:pPr>
        <w:pStyle w:val="Normal0"/>
        <w:rPr>
          <w:rFonts w:ascii="Arial" w:hAnsi="Arial"/>
          <w:sz w:val="22"/>
          <w:szCs w:val="22"/>
        </w:rPr>
      </w:pPr>
    </w:p>
    <w:p w:rsidR="004F25E9" w:rsidRDefault="00C861B6">
      <w:pPr>
        <w:pStyle w:val="Normal0"/>
        <w:jc w:val="right"/>
      </w:pPr>
      <w:r>
        <w:rPr>
          <w:rFonts w:ascii="Arial" w:hAnsi="Arial"/>
          <w:i/>
          <w:iCs/>
          <w:sz w:val="22"/>
          <w:szCs w:val="22"/>
        </w:rPr>
        <w:t xml:space="preserve">Pour le </w:t>
      </w:r>
      <w:r>
        <w:rPr>
          <w:rFonts w:ascii="Arial" w:hAnsi="Arial"/>
          <w:i/>
          <w:iCs/>
          <w:sz w:val="22"/>
          <w:szCs w:val="22"/>
        </w:rPr>
        <w:t xml:space="preserve">procès-verbal, Anne C. </w:t>
      </w:r>
      <w:proofErr w:type="spellStart"/>
      <w:r>
        <w:rPr>
          <w:rFonts w:ascii="Arial" w:hAnsi="Arial"/>
          <w:i/>
          <w:iCs/>
          <w:sz w:val="22"/>
          <w:szCs w:val="22"/>
        </w:rPr>
        <w:t>Salberg</w:t>
      </w:r>
      <w:proofErr w:type="spellEnd"/>
      <w:r>
        <w:rPr>
          <w:rFonts w:ascii="Arial" w:hAnsi="Arial"/>
          <w:i/>
          <w:iCs/>
          <w:sz w:val="22"/>
          <w:szCs w:val="22"/>
        </w:rPr>
        <w:t>, 14 juillet 2015</w:t>
      </w:r>
    </w:p>
    <w:sectPr w:rsidR="004F25E9">
      <w:footerReference w:type="default" r:id="rId11"/>
      <w:pgSz w:w="11906" w:h="16838"/>
      <w:pgMar w:top="1417" w:right="1417" w:bottom="1976" w:left="1417" w:header="0" w:footer="141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61B6">
      <w:r>
        <w:separator/>
      </w:r>
    </w:p>
  </w:endnote>
  <w:endnote w:type="continuationSeparator" w:id="0">
    <w:p w:rsidR="00000000" w:rsidRDefault="00C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E9" w:rsidRDefault="00C861B6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61B6">
      <w:r>
        <w:separator/>
      </w:r>
    </w:p>
  </w:footnote>
  <w:footnote w:type="continuationSeparator" w:id="0">
    <w:p w:rsidR="00000000" w:rsidRDefault="00C8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B64"/>
    <w:multiLevelType w:val="multilevel"/>
    <w:tmpl w:val="5180F76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1E95747C"/>
    <w:multiLevelType w:val="multilevel"/>
    <w:tmpl w:val="217282B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B04BC3"/>
    <w:multiLevelType w:val="multilevel"/>
    <w:tmpl w:val="6F1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E9"/>
    <w:rsid w:val="004F25E9"/>
    <w:rsid w:val="00534F0A"/>
    <w:rsid w:val="00C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7C1AA-8D03-4F8F-A04F-3FA947F1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Times New Roman"/>
        <w:lang w:val="fr-CH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Titre1">
    <w:name w:val="heading 1"/>
    <w:basedOn w:val="Heading"/>
    <w:qFormat/>
    <w:pPr>
      <w:spacing w:before="440" w:after="60"/>
      <w:outlineLvl w:val="0"/>
    </w:pPr>
    <w:rPr>
      <w:rFonts w:ascii="Arial" w:hAnsi="Arial" w:cs="Arial"/>
      <w:b/>
      <w:sz w:val="34"/>
    </w:rPr>
  </w:style>
  <w:style w:type="paragraph" w:styleId="Titre2">
    <w:name w:val="heading 2"/>
    <w:basedOn w:val="Heading"/>
    <w:qFormat/>
    <w:pPr>
      <w:spacing w:before="440" w:after="60"/>
      <w:outlineLvl w:val="1"/>
    </w:pPr>
    <w:rPr>
      <w:rFonts w:ascii="Arial" w:hAnsi="Arial" w:cs="Arial"/>
      <w:b/>
    </w:rPr>
  </w:style>
  <w:style w:type="paragraph" w:styleId="Titre3">
    <w:name w:val="heading 3"/>
    <w:basedOn w:val="Heading"/>
    <w:qFormat/>
    <w:pPr>
      <w:spacing w:before="440" w:after="60"/>
      <w:outlineLvl w:val="2"/>
    </w:pPr>
    <w:rPr>
      <w:rFonts w:ascii="Arial" w:hAnsi="Arial" w:cs="Arial"/>
      <w:b/>
      <w:sz w:val="24"/>
    </w:rPr>
  </w:style>
  <w:style w:type="paragraph" w:styleId="Titre4">
    <w:name w:val="heading 4"/>
    <w:basedOn w:val="Heading"/>
    <w:qFormat/>
    <w:pPr>
      <w:spacing w:before="440" w:after="60"/>
      <w:outlineLvl w:val="3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Anchor">
    <w:name w:val="Endnote Anchor"/>
    <w:rPr>
      <w:sz w:val="20"/>
      <w:vertAlign w:val="superscript"/>
    </w:rPr>
  </w:style>
  <w:style w:type="character" w:customStyle="1" w:styleId="FootnoteAnchor">
    <w:name w:val="Footnote Anchor"/>
    <w:rPr>
      <w:sz w:val="20"/>
      <w:vertAlign w:val="superscript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  <w:sz w:val="22"/>
    </w:rPr>
  </w:style>
  <w:style w:type="character" w:customStyle="1" w:styleId="ListLabel3">
    <w:name w:val="ListLabel 3"/>
    <w:qFormat/>
    <w:rPr>
      <w:rFonts w:ascii="Arial" w:hAnsi="Arial" w:cs="Times New Roman"/>
      <w:sz w:val="2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" w:hAnsi="Arial" w:cs="Times New Roman"/>
      <w:sz w:val="22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" w:hAnsi="Arial" w:cs="Times New Roman"/>
      <w:sz w:val="22"/>
    </w:rPr>
  </w:style>
  <w:style w:type="character" w:customStyle="1" w:styleId="NumberingSymbols">
    <w:name w:val="Numbering Symbols"/>
    <w:qFormat/>
  </w:style>
  <w:style w:type="character" w:customStyle="1" w:styleId="ListLabel8">
    <w:name w:val="ListLabel 8"/>
    <w:qFormat/>
    <w:rPr>
      <w:rFonts w:ascii="Arial" w:hAnsi="Arial" w:cs="Times New Roman"/>
      <w:sz w:val="20"/>
    </w:rPr>
  </w:style>
  <w:style w:type="character" w:customStyle="1" w:styleId="ListLabel9">
    <w:name w:val="ListLabel 9"/>
    <w:qFormat/>
    <w:rPr>
      <w:rFonts w:ascii="Arial" w:hAnsi="Arial" w:cs="Symbol"/>
      <w:sz w:val="20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Arial" w:hAnsi="Arial" w:cs="Times New Roman"/>
      <w:sz w:val="20"/>
    </w:rPr>
  </w:style>
  <w:style w:type="character" w:customStyle="1" w:styleId="ListLabel12">
    <w:name w:val="ListLabel 12"/>
    <w:qFormat/>
    <w:rPr>
      <w:rFonts w:ascii="Arial" w:hAnsi="Arial" w:cs="Symbol"/>
      <w:sz w:val="20"/>
    </w:rPr>
  </w:style>
  <w:style w:type="character" w:customStyle="1" w:styleId="ListLabel13">
    <w:name w:val="ListLabel 13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ascii="FreeSans" w:hAnsi="FreeSans" w:cs="FreeSans"/>
    </w:rPr>
  </w:style>
  <w:style w:type="paragraph" w:styleId="Lgende">
    <w:name w:val="caption"/>
    <w:basedOn w:val="Normal"/>
    <w:qFormat/>
    <w:pPr>
      <w:spacing w:before="120" w:after="120"/>
    </w:pPr>
    <w:rPr>
      <w:rFonts w:ascii="FreeSans" w:hAnsi="FreeSans" w:cs="FreeSans"/>
      <w:i/>
    </w:rPr>
  </w:style>
  <w:style w:type="paragraph" w:customStyle="1" w:styleId="Index">
    <w:name w:val="Index"/>
    <w:basedOn w:val="Normal"/>
    <w:qFormat/>
    <w:rPr>
      <w:rFonts w:ascii="FreeSans" w:hAnsi="FreeSans" w:cs="FreeSans"/>
    </w:rPr>
  </w:style>
  <w:style w:type="paragraph" w:customStyle="1" w:styleId="ArrowheadList">
    <w:name w:val="Arrowhead List"/>
    <w:qFormat/>
    <w:pPr>
      <w:suppressAutoHyphens/>
      <w:ind w:left="720" w:hanging="432"/>
    </w:pPr>
    <w:rPr>
      <w:color w:val="00000A"/>
      <w:sz w:val="24"/>
    </w:rPr>
  </w:style>
  <w:style w:type="paragraph" w:styleId="Normalcentr">
    <w:name w:val="Block Text"/>
    <w:qFormat/>
    <w:pPr>
      <w:widowControl w:val="0"/>
      <w:suppressAutoHyphens/>
      <w:spacing w:after="120"/>
      <w:ind w:left="1440" w:right="1440"/>
    </w:pPr>
    <w:rPr>
      <w:color w:val="00000A"/>
      <w:sz w:val="24"/>
    </w:rPr>
  </w:style>
  <w:style w:type="paragraph" w:customStyle="1" w:styleId="BoxList">
    <w:name w:val="Box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BulletList">
    <w:name w:val="Bullet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ChapterHeading">
    <w:name w:val="Chapter Heading"/>
    <w:qFormat/>
    <w:pPr>
      <w:widowControl w:val="0"/>
      <w:suppressAutoHyphens/>
    </w:pPr>
    <w:rPr>
      <w:color w:val="00000A"/>
      <w:sz w:val="24"/>
    </w:rPr>
  </w:style>
  <w:style w:type="paragraph" w:customStyle="1" w:styleId="Contents1">
    <w:name w:val="Contents 1"/>
    <w:basedOn w:val="Index"/>
    <w:pPr>
      <w:ind w:left="720" w:hanging="432"/>
    </w:pPr>
  </w:style>
  <w:style w:type="paragraph" w:customStyle="1" w:styleId="Contents2">
    <w:name w:val="Contents 2"/>
    <w:basedOn w:val="Index"/>
    <w:pPr>
      <w:ind w:left="1440" w:hanging="432"/>
    </w:pPr>
  </w:style>
  <w:style w:type="paragraph" w:customStyle="1" w:styleId="Contents3">
    <w:name w:val="Contents 3"/>
    <w:basedOn w:val="Index"/>
    <w:pPr>
      <w:ind w:left="2160" w:hanging="432"/>
    </w:pPr>
  </w:style>
  <w:style w:type="paragraph" w:customStyle="1" w:styleId="Contents4">
    <w:name w:val="Contents 4"/>
    <w:basedOn w:val="Index"/>
    <w:pPr>
      <w:ind w:left="2880" w:hanging="432"/>
    </w:pPr>
  </w:style>
  <w:style w:type="paragraph" w:customStyle="1" w:styleId="ContentsHeader">
    <w:name w:val="Contents Header"/>
    <w:qFormat/>
    <w:pPr>
      <w:widowControl w:val="0"/>
      <w:suppressAutoHyphens/>
      <w:spacing w:before="240" w:after="120"/>
      <w:jc w:val="center"/>
    </w:pPr>
    <w:rPr>
      <w:rFonts w:ascii="Arial" w:hAnsi="Arial" w:cs="Arial"/>
      <w:b/>
      <w:color w:val="00000A"/>
      <w:sz w:val="32"/>
    </w:rPr>
  </w:style>
  <w:style w:type="paragraph" w:customStyle="1" w:styleId="DashedList">
    <w:name w:val="Dashed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DiamondList">
    <w:name w:val="Diamond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Endnote">
    <w:name w:val="Endnote"/>
    <w:basedOn w:val="Normal"/>
    <w:pPr>
      <w:ind w:left="288" w:hanging="288"/>
    </w:pPr>
  </w:style>
  <w:style w:type="paragraph" w:customStyle="1" w:styleId="EndnoteSymbol">
    <w:name w:val="Endnote Symbol"/>
    <w:qFormat/>
    <w:pPr>
      <w:widowControl w:val="0"/>
      <w:suppressAutoHyphens/>
    </w:pPr>
    <w:rPr>
      <w:color w:val="00000A"/>
      <w:sz w:val="24"/>
    </w:rPr>
  </w:style>
  <w:style w:type="paragraph" w:customStyle="1" w:styleId="Footnote">
    <w:name w:val="Footnote"/>
    <w:basedOn w:val="Normal"/>
    <w:rPr>
      <w:sz w:val="20"/>
    </w:rPr>
  </w:style>
  <w:style w:type="paragraph" w:customStyle="1" w:styleId="HandList">
    <w:name w:val="Hand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HeartList">
    <w:name w:val="Heart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ImpliesList">
    <w:name w:val="Implies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LowerCaseList">
    <w:name w:val="Lower Case List"/>
    <w:qFormat/>
    <w:pPr>
      <w:widowControl w:val="0"/>
      <w:suppressAutoHyphens/>
      <w:ind w:left="720" w:hanging="432"/>
    </w:pPr>
    <w:rPr>
      <w:color w:val="00000A"/>
      <w:sz w:val="24"/>
    </w:rPr>
  </w:style>
  <w:style w:type="paragraph" w:customStyle="1" w:styleId="LowerRomanList">
    <w:name w:val="Lower Roman List"/>
    <w:qFormat/>
    <w:pPr>
      <w:widowControl w:val="0"/>
      <w:suppressAutoHyphens/>
      <w:ind w:left="720" w:hanging="432"/>
    </w:pPr>
    <w:rPr>
      <w:color w:val="00000A"/>
      <w:sz w:val="24"/>
    </w:rPr>
  </w:style>
  <w:style w:type="paragraph" w:customStyle="1" w:styleId="Aucuneliste1">
    <w:name w:val="Aucune liste1"/>
    <w:qFormat/>
    <w:pPr>
      <w:widowControl w:val="0"/>
      <w:suppressAutoHyphens/>
    </w:pPr>
    <w:rPr>
      <w:color w:val="00000A"/>
      <w:sz w:val="24"/>
    </w:rPr>
  </w:style>
  <w:style w:type="paragraph" w:customStyle="1" w:styleId="DocumentMap">
    <w:name w:val="DocumentMap"/>
    <w:qFormat/>
    <w:pPr>
      <w:widowControl w:val="0"/>
      <w:suppressAutoHyphens/>
    </w:pPr>
    <w:rPr>
      <w:color w:val="00000A"/>
      <w:sz w:val="24"/>
    </w:rPr>
  </w:style>
  <w:style w:type="paragraph" w:customStyle="1" w:styleId="NumberedHeading1">
    <w:name w:val="Numbered Heading 1"/>
    <w:basedOn w:val="Titre1"/>
    <w:qFormat/>
  </w:style>
  <w:style w:type="paragraph" w:customStyle="1" w:styleId="NumberedHeading2">
    <w:name w:val="Numbered Heading 2"/>
    <w:basedOn w:val="Titre2"/>
    <w:qFormat/>
  </w:style>
  <w:style w:type="paragraph" w:customStyle="1" w:styleId="NumberedHeading3">
    <w:name w:val="Numbered Heading 3"/>
    <w:basedOn w:val="Titre3"/>
    <w:qFormat/>
  </w:style>
  <w:style w:type="paragraph" w:customStyle="1" w:styleId="NumberedList">
    <w:name w:val="Numbered List"/>
    <w:qFormat/>
    <w:pPr>
      <w:suppressAutoHyphens/>
      <w:ind w:left="720" w:hanging="432"/>
    </w:pPr>
    <w:rPr>
      <w:color w:val="00000A"/>
      <w:sz w:val="24"/>
    </w:rPr>
  </w:style>
  <w:style w:type="paragraph" w:styleId="Textebrut">
    <w:name w:val="Plain Text"/>
    <w:qFormat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SectionHeading">
    <w:name w:val="Section Heading"/>
    <w:basedOn w:val="NumberedHeading1"/>
    <w:qFormat/>
  </w:style>
  <w:style w:type="paragraph" w:customStyle="1" w:styleId="SquareList">
    <w:name w:val="Square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StarList">
    <w:name w:val="Star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TickList">
    <w:name w:val="Tick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TriangleList">
    <w:name w:val="Triangle List"/>
    <w:qFormat/>
    <w:pPr>
      <w:suppressAutoHyphens/>
      <w:ind w:left="720" w:hanging="432"/>
    </w:pPr>
    <w:rPr>
      <w:color w:val="00000A"/>
      <w:sz w:val="24"/>
    </w:rPr>
  </w:style>
  <w:style w:type="paragraph" w:customStyle="1" w:styleId="UpperCaseList">
    <w:name w:val="Upper Case List"/>
    <w:basedOn w:val="NumberedList"/>
    <w:qFormat/>
  </w:style>
  <w:style w:type="paragraph" w:customStyle="1" w:styleId="UpperRomanList">
    <w:name w:val="Upper Roman List"/>
    <w:basedOn w:val="NumberedList"/>
    <w:qFormat/>
  </w:style>
  <w:style w:type="paragraph" w:customStyle="1" w:styleId="Normal0">
    <w:name w:val="_Normal"/>
    <w:qFormat/>
    <w:pPr>
      <w:widowControl w:val="0"/>
      <w:suppressAutoHyphens/>
      <w:spacing w:after="200"/>
    </w:pPr>
    <w:rPr>
      <w:color w:val="000000"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Pieddepage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h/legislation/rsg/f/rsg_e2_05p0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mediationgeneve.files.wordpress.com/2014/12/liste-des-institutions-de-mc3a9diation-c3a0-genc3a8ve-brochure-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Médard Bendelo</cp:lastModifiedBy>
  <cp:revision>2</cp:revision>
  <cp:lastPrinted>2015-05-18T17:43:00Z</cp:lastPrinted>
  <dcterms:created xsi:type="dcterms:W3CDTF">2015-07-16T15:52:00Z</dcterms:created>
  <dcterms:modified xsi:type="dcterms:W3CDTF">2015-07-16T15:52:00Z</dcterms:modified>
  <dc:language>fr-CH</dc:language>
</cp:coreProperties>
</file>